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</w:rPr>
        <w:t>医疗机构工作人员廉洁从业九项准则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</w:rPr>
        <w:t>一、合法按劳取酬，不接受商业提成。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</w:rPr>
        <w:t>二、严守诚信原则，不参与欺诈骗保。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</w:rPr>
        <w:t>三、依据规范行医，不实施过度诊疗。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</w:rPr>
        <w:t>四、遵守工作规程，不违规接受捐赠。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</w:rPr>
        <w:t>五、恪守保密准则，不泄露患者隐私。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</w:rPr>
        <w:t>六、服从诊疗需要，不牟利转介患者。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</w:rPr>
        <w:t>七、维护诊疗秩序，不破坏就医公平。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</w:rPr>
        <w:t> 八、共建和谐关系，不收受患方“红包”。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</w:rPr>
        <w:t>九、恪守交往底线，不收受企业回扣。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NjQzNjlmNDkzMGNlZDlmMjM3M2EwOTYzMTVlNDMifQ=="/>
  </w:docVars>
  <w:rsids>
    <w:rsidRoot w:val="00000000"/>
    <w:rsid w:val="0E0273BE"/>
    <w:rsid w:val="3FD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2021-12-12T23:56:00Z</dcterms:created>
  <dc:creator>Administrator</dc:creator>
  <cp:lastModifiedBy>鹿麟</cp:lastModifiedBy>
  <dcterms:modified xsi:type="dcterms:W3CDTF">2022-06-28T09:07:43Z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DE59E4C713A048D19F27E501B06AA51F</vt:lpwstr>
  </property>
</Properties>
</file>