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0" w:line="219" w:lineRule="auto"/>
        <w:ind w:firstLine="15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</w:rPr>
        <w:t>附件1</w:t>
      </w:r>
    </w:p>
    <w:p>
      <w:pPr>
        <w:spacing w:line="306" w:lineRule="auto"/>
        <w:rPr>
          <w:rFonts w:hint="eastAsia" w:ascii="Arial" w:eastAsia="宋体"/>
          <w:sz w:val="21"/>
          <w:lang w:val="en-US" w:eastAsia="zh-CN"/>
        </w:rPr>
      </w:pPr>
      <w:r>
        <w:rPr>
          <w:rFonts w:hint="eastAsia" w:eastAsia="宋体"/>
          <w:sz w:val="21"/>
          <w:lang w:val="en-US" w:eastAsia="zh-CN"/>
        </w:rPr>
        <w:t xml:space="preserve"> 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114" w:line="219" w:lineRule="auto"/>
        <w:ind w:firstLine="187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安徽省医疗服务信息社会公开内容</w:t>
      </w:r>
    </w:p>
    <w:p/>
    <w:p/>
    <w:p/>
    <w:p>
      <w:pPr>
        <w:spacing w:line="18" w:lineRule="exact"/>
      </w:pPr>
    </w:p>
    <w:tbl>
      <w:tblPr>
        <w:tblStyle w:val="4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3546"/>
        <w:gridCol w:w="1378"/>
        <w:gridCol w:w="123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4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信息分类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0" w:lineRule="auto"/>
              <w:ind w:firstLine="19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指标项目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本期数值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上期数值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1.基本情况</w:t>
            </w: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1.1重点(特色)专科</w:t>
            </w:r>
          </w:p>
          <w:p>
            <w:pPr>
              <w:spacing w:before="82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国家级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省级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市级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院级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1.2"江淮名医"人数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1.3床医比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2.66:1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2.77:1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1.4床护比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1"/>
              </w:numPr>
              <w:spacing w:before="81" w:line="220" w:lineRule="auto"/>
              <w:ind w:firstLine="114"/>
              <w:rPr>
                <w:rFonts w:ascii="宋体" w:hAnsi="宋体" w:eastAsia="宋体" w:cs="宋体"/>
                <w:spacing w:val="5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医疗费用</w:t>
            </w:r>
          </w:p>
          <w:p>
            <w:pPr>
              <w:numPr>
                <w:ilvl w:val="0"/>
                <w:numId w:val="0"/>
              </w:numPr>
              <w:spacing w:before="81" w:line="220" w:lineRule="auto"/>
              <w:rPr>
                <w:rFonts w:hint="eastAsia" w:ascii="宋体" w:hAnsi="宋体" w:eastAsia="宋体" w:cs="宋体"/>
                <w:spacing w:val="5"/>
                <w:sz w:val="25"/>
                <w:szCs w:val="25"/>
                <w:lang w:eastAsia="zh-CN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2.1门诊患者人均医疗费用(元)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349.57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364.36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2.2住院患者人均医疗费用(元)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9242.23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9761.11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8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2.3医疗机构住院患者单病种平均费用(见附件2)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pacing w:val="-1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2.4基本医保实际报销比例(%)</w:t>
            </w:r>
          </w:p>
          <w:p>
            <w:pPr>
              <w:spacing w:before="82" w:line="219" w:lineRule="auto"/>
              <w:ind w:firstLine="622" w:firstLineChars="251"/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城镇职工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83.89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83.19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城乡居民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69.14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3.医疗质量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3.1治愈好转率(%)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98.6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3.2手术前后诊断符合率(%)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96.6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3.3急诊抢救成功率(%)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91.15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3.4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抗菌药物使用强度(DDs)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34.64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ind w:firstLine="420" w:firstLineChars="200"/>
              <w:jc w:val="both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31.74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3.5门诊输液率(%)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3.6无菌手术切口感染率(%)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0.08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3.7住院患者压疮发生率(%)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3.8出院患者手术占比(%)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29.05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25.2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3.9手术患者并发症发生率(%)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0.12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0.59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274" w:bottom="1200" w:left="1445" w:header="0" w:footer="1049" w:gutter="0"/>
          <w:cols w:space="720" w:num="1"/>
        </w:sectPr>
      </w:pPr>
    </w:p>
    <w:p>
      <w:pPr>
        <w:spacing w:line="193" w:lineRule="exact"/>
      </w:pPr>
    </w:p>
    <w:tbl>
      <w:tblPr>
        <w:tblStyle w:val="4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3526"/>
        <w:gridCol w:w="1388"/>
        <w:gridCol w:w="122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4.运行效率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4.1门诊患者平均预约诊疗率(%)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26.2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22.77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111"/>
              <w:rPr>
                <w:rFonts w:ascii="宋体" w:hAnsi="宋体" w:eastAsia="宋体" w:cs="宋体"/>
                <w:spacing w:val="-2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4.2门诊患者预约后平均等待时间(分钟)</w:t>
            </w:r>
          </w:p>
          <w:p>
            <w:pPr>
              <w:spacing w:before="115" w:line="219" w:lineRule="auto"/>
              <w:ind w:firstLine="500" w:firstLineChars="200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9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4.3术前待床日(天)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二级手术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1.48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三级手术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2.47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四级手术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3.39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4.4病床使用率(%)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125.5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124.8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4.5出院者平均住院日(天)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12.8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4.6门诊人次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113746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107074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4.7出院人次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11173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10738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5.患者满意度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总体满意度(%)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97.23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96.75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6.服务承诺</w:t>
            </w: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5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医疗机构服务承诺内容(见附件3'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         </w:t>
            </w:r>
            <w:bookmarkStart w:id="0" w:name="_GoBack"/>
            <w:bookmarkEnd w:id="0"/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431" w:right="1324" w:bottom="1268" w:left="1415" w:header="0" w:footer="1060" w:gutter="0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117" w:line="21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12"/>
          <w:sz w:val="36"/>
          <w:szCs w:val="36"/>
        </w:rPr>
        <w:t>附件2</w:t>
      </w:r>
    </w:p>
    <w:p>
      <w:pPr>
        <w:spacing w:before="337" w:line="219" w:lineRule="auto"/>
        <w:ind w:firstLine="170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医疗机构住院患者单病种平均费用</w:t>
      </w:r>
    </w:p>
    <w:p>
      <w:pPr>
        <w:spacing w:line="180" w:lineRule="exact"/>
      </w:pPr>
    </w:p>
    <w:tbl>
      <w:tblPr>
        <w:tblStyle w:val="4"/>
        <w:tblW w:w="8079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400"/>
        <w:gridCol w:w="1965"/>
        <w:gridCol w:w="1605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07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8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本期平均费用(元)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7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儿内科综合治疗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2698.79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2527.72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脑梗死（急性期）  (I63.900）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7453.14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7151.48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I型/Ⅱ型糖尿病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E10.900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4370.47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4488.52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慢性心力衰竭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(I50.908)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7339.33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7162.23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4887.48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5025.94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6099.87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6252.37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慢性阻塞性肺疾病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(J44.900)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7041.22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6981.82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扁桃体腺样体肥大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(J35.300)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扁桃体伴腺样体切除术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7103.5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6460.07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原发性高血压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(I10.x09)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3539.57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3170.24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稳定型心绞痛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(I20.801)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5951.04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6066.8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3592.19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3897.66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乳腺癌（C50.801）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术前术后辅助化疗或晚期姑息化疗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3688.66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4213.85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(C34.900)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晚期姑息化疗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7089.76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7914.2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肾结石（N20.000）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  <w:t>外科手术治疗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15161.77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15267.33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胃癌（C16.900）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4158.45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3744.28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输尿管结石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(N20.100)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外科手术治疗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9589.7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10625.05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慢性鼻窦炎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(J32.900)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功能性内镜鼻窦手术治疗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9014.55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9262.56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下肢静脉曲张</w:t>
            </w:r>
          </w:p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I83.900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激光加硬化剂微创手术治疗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7802.91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9070.15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甲状腺癌</w:t>
            </w:r>
          </w:p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D44.001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甲状腺癌根治术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10929.21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10788.09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甲状腺良性包块</w:t>
            </w:r>
          </w:p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（D34.x00）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外科手术治疗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9325.07</w:t>
            </w:r>
          </w:p>
          <w:p>
            <w:pPr>
              <w:jc w:val="center"/>
              <w:rPr>
                <w:rFonts w:hint="default" w:eastAsia="宋体"/>
                <w:sz w:val="21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9647.85</w:t>
            </w:r>
          </w:p>
        </w:tc>
      </w:tr>
    </w:tbl>
    <w:p>
      <w:pPr>
        <w:jc w:val="center"/>
        <w:sectPr>
          <w:footerReference r:id="rId7" w:type="default"/>
          <w:pgSz w:w="11900" w:h="16840"/>
          <w:pgMar w:top="1431" w:right="1574" w:bottom="1272" w:left="1670" w:header="0" w:footer="1019" w:gutter="0"/>
          <w:cols w:space="720" w:num="1"/>
        </w:sectPr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spacing w:line="222" w:lineRule="exact"/>
        <w:jc w:val="center"/>
      </w:pPr>
    </w:p>
    <w:tbl>
      <w:tblPr>
        <w:tblStyle w:val="4"/>
        <w:tblW w:w="83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740"/>
        <w:gridCol w:w="1904"/>
        <w:gridCol w:w="1919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241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医院特色专科住院患者前5位单病种平均费用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4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81" w:lineRule="auto"/>
              <w:ind w:left="260" w:right="222" w:firstLine="11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line="219" w:lineRule="auto"/>
              <w:ind w:firstLine="3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6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0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本期平均费用(元)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乳腺癌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（C50.801）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术前术后辅助化疗或晚期姑息化疗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3607.32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4479.17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6224.4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5659.76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5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3482.41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3516.98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下肢静脉曲张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I83.900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激光加硬化剂微创手术治疗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7802.91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9070.15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83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胃癌（C16.900）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3674.99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3742.9</w:t>
            </w:r>
          </w:p>
        </w:tc>
      </w:tr>
    </w:tbl>
    <w:p>
      <w:pPr>
        <w:jc w:val="center"/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1431" w:right="1455" w:bottom="1278" w:left="1695" w:header="0" w:footer="1070" w:gutter="0"/>
          <w:cols w:space="720" w:num="1"/>
        </w:sectPr>
      </w:pPr>
    </w:p>
    <w:p>
      <w:pPr>
        <w:spacing w:before="351" w:line="21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5"/>
          <w:sz w:val="36"/>
          <w:szCs w:val="36"/>
        </w:rPr>
        <w:t>附件3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医疗机构服务承诺内容</w:t>
      </w:r>
    </w:p>
    <w:p/>
    <w:p>
      <w:pPr>
        <w:spacing w:line="19" w:lineRule="exact"/>
      </w:pPr>
    </w:p>
    <w:tbl>
      <w:tblPr>
        <w:tblStyle w:val="4"/>
        <w:tblW w:w="8240" w:type="dxa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6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firstLine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2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承诺服务内容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礼貌接诊,文明待人,态度和蔼不推诿、训斥、刁难病人。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/>
                <w:sz w:val="21"/>
              </w:rPr>
              <w:t>尊重患者选择权、知情权和监督权</w:t>
            </w:r>
            <w:r>
              <w:rPr>
                <w:rFonts w:hint="eastAsia" w:eastAsia="宋体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坚持首诊负责制,对急、难、危、重患者优先就诊,交费、检查、取药,需住院或转院者给予积极协助。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6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门诊医生按时出诊,简化就医程序,为患者提供方便。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3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严格执行国家规定收费标准。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医疗服务中做到合理检查、合理施治、合理用药。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3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/>
                <w:sz w:val="21"/>
              </w:rPr>
              <w:t xml:space="preserve">禁止收取开药、仪器、化验、及其他医学检查等开单提成 </w:t>
            </w:r>
            <w:r>
              <w:rPr>
                <w:rFonts w:hint="eastAsia" w:eastAsia="宋体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不准通过介绍患者到其他单位检查、治疗或购买药品、医疗 器械等收取回扣或提成。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5" w:lineRule="auto"/>
              <w:ind w:firstLine="87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谢绝患者及其家属馈赠的现金、物品、宴请,如难以谢绝的, 必须及时向监察室汇报。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5" w:lineRule="auto"/>
              <w:ind w:firstLine="815" w:firstLine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/>
                <w:sz w:val="21"/>
              </w:rPr>
              <w:t>拒收医疗设备、器械、耗材、药品、试剂等生产、销售人 员以各种形式给子的回扣,不以职务便利获取不正当利益。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40"/>
          <w:pgMar w:top="1431" w:right="1735" w:bottom="1282" w:left="1680" w:header="0" w:footer="1029" w:gutter="0"/>
          <w:cols w:space="720" w:num="1"/>
        </w:sectPr>
      </w:pPr>
    </w:p>
    <w:p>
      <w:pPr>
        <w:spacing w:before="285" w:line="219" w:lineRule="auto"/>
        <w:ind w:firstLine="12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附件4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111" w:line="219" w:lineRule="auto"/>
        <w:ind w:firstLine="146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安徽省医疗服务信息社会公开指标说明</w:t>
      </w:r>
    </w:p>
    <w:p>
      <w:pPr>
        <w:spacing w:line="184" w:lineRule="exact"/>
      </w:pPr>
    </w:p>
    <w:tbl>
      <w:tblPr>
        <w:tblStyle w:val="4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798"/>
        <w:gridCol w:w="1168"/>
        <w:gridCol w:w="4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信息分类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0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指标项目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指标定义、计算公式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1.基本情况</w:t>
            </w:r>
          </w:p>
        </w:tc>
        <w:tc>
          <w:tcPr>
            <w:tcW w:w="17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 w:line="192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1.1重点(特</w:t>
            </w:r>
          </w:p>
          <w:p>
            <w:pPr>
              <w:spacing w:line="218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色)专科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0" w:lineRule="auto"/>
              <w:ind w:firstLine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国家级</w:t>
            </w:r>
          </w:p>
        </w:tc>
        <w:tc>
          <w:tcPr>
            <w:tcW w:w="43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8" w:line="289" w:lineRule="auto"/>
              <w:ind w:left="106" w:righ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列举经各级卫生健康行政部门评定的重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点专科名称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省级</w:t>
            </w:r>
          </w:p>
        </w:tc>
        <w:tc>
          <w:tcPr>
            <w:tcW w:w="43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市级</w:t>
            </w:r>
          </w:p>
        </w:tc>
        <w:tc>
          <w:tcPr>
            <w:tcW w:w="43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院级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列举医疗机构自行评定的特色专科名称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1.2"江淮名医"人数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46" w:lineRule="auto"/>
              <w:ind w:left="106" w:righ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医疗机构荣获安徽省"江淮名医"荣誉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称号人数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1.3床医比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=实际开放床位数/注册医师总数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1.4床护比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=实际开放床位数/注册护士总数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2.医疗费用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0" w:lineRule="auto"/>
              <w:ind w:left="122" w:righ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2.1门诊患者人均医疗费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用(元)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=门诊收入/门诊诊疗人次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8" w:lineRule="auto"/>
              <w:ind w:left="122" w:righ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2.2住院患者人均医疗费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用(元)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=住院收入/出院人次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09" w:lineRule="auto"/>
              <w:ind w:left="122" w:righ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2.3医疗机构住院患者单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病种平均费用(见附件2)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56" w:lineRule="auto"/>
              <w:ind w:left="106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分别计算医疗机构住院患者前20位单病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种的平均费用和医疗机构特色专科住院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5" w:line="214" w:lineRule="auto"/>
              <w:ind w:left="112" w:right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2.4基本医保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实际报销比例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城镇职工</w:t>
            </w:r>
          </w:p>
        </w:tc>
        <w:tc>
          <w:tcPr>
            <w:tcW w:w="43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8" w:line="287" w:lineRule="auto"/>
              <w:ind w:left="106" w:righ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分别计算两类医保住院患者平均实际报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销比例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城乡居民</w:t>
            </w:r>
          </w:p>
        </w:tc>
        <w:tc>
          <w:tcPr>
            <w:tcW w:w="43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3.医疗质量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3.1治愈好转率(%)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=治愈好转人次/出院人次*100%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4" w:lineRule="auto"/>
              <w:ind w:left="122" w:righ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3.2手术前后诊断符合率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=手术前后诊断符合数/出院人次*100%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3.3急诊抢救成功率(%)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411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4"/>
                <w:szCs w:val="24"/>
              </w:rPr>
              <w:t>=急诊抢救成功次数/急诊抢救次数</w:t>
            </w:r>
          </w:p>
          <w:p>
            <w:pPr>
              <w:spacing w:line="195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8" w:lineRule="auto"/>
              <w:ind w:left="122" w:right="5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3.4抗菌药物使用强度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(DDDs)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306" w:lineRule="auto"/>
              <w:ind w:left="106" w:righ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=住院患者抗菌药物消耗量(累计DDD数)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*100/同期收治患者人天数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3.5门诊输液率(%)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=门诊输液人次数/门诊诊疗人次*100%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49" w:lineRule="auto"/>
              <w:ind w:left="122" w:righ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3.6无菌手术切口感染率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461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6"/>
                <w:sz w:val="24"/>
                <w:szCs w:val="24"/>
              </w:rPr>
              <w:t>=无菌手术切口感染数/无菌手术人次</w:t>
            </w:r>
          </w:p>
          <w:p>
            <w:pPr>
              <w:spacing w:line="179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*100%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40"/>
          <w:pgMar w:top="1431" w:right="1425" w:bottom="1267" w:left="1524" w:header="0" w:footer="1120" w:gutter="0"/>
          <w:cols w:space="720" w:num="1"/>
        </w:sectPr>
      </w:pPr>
    </w:p>
    <w:p>
      <w:pPr>
        <w:spacing w:line="173" w:lineRule="exact"/>
      </w:pPr>
    </w:p>
    <w:tbl>
      <w:tblPr>
        <w:tblStyle w:val="4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758"/>
        <w:gridCol w:w="1179"/>
        <w:gridCol w:w="4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37" w:lineRule="auto"/>
              <w:ind w:left="122" w:righ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3.7住院患者压疮发生率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411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4"/>
                <w:szCs w:val="24"/>
              </w:rPr>
              <w:t>=发生压疮的患者人次/出院患者人次</w:t>
            </w:r>
          </w:p>
          <w:p>
            <w:pPr>
              <w:spacing w:line="169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38" w:lineRule="auto"/>
              <w:ind w:left="122" w:righ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12"/>
                <w:sz w:val="24"/>
                <w:szCs w:val="24"/>
              </w:rPr>
              <w:t>3.8出院患者手术占比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15" w:righ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=出院患者手术台次数/同期出院患者总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人次数*100%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46" w:lineRule="auto"/>
              <w:ind w:left="122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3.9手术患者并发症发生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率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%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4" w:lineRule="auto"/>
              <w:ind w:left="115" w:righ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=手术患者并发症发生例数/同期出院的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手术患者人数*100%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4.运行效率</w:t>
            </w: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122" w:right="2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4.1门诊患者平均预约诊 </w:t>
            </w:r>
            <w:r>
              <w:rPr>
                <w:rFonts w:ascii="宋体" w:hAnsi="宋体" w:eastAsia="宋体" w:cs="宋体"/>
                <w:spacing w:val="13"/>
                <w:w w:val="108"/>
                <w:sz w:val="24"/>
                <w:szCs w:val="24"/>
              </w:rPr>
              <w:t>疗率(%)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=预约诊疗人次数/总诊疗人次数*100%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82" w:lineRule="auto"/>
              <w:ind w:left="122" w:right="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4.2门诊患者预约后平均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等待时间(分钟)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56" w:lineRule="auto"/>
              <w:ind w:left="115" w:righ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逻{进入诊室诊疗的时钟时间-到达分诊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台或通过信息系统(自助机、APP</w:t>
            </w:r>
            <w:r>
              <w:rPr>
                <w:rFonts w:ascii="宋体" w:hAnsi="宋体" w:eastAsia="宋体" w:cs="宋体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等)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报到的时钟时间}/预约诊疗人次数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305" w:lineRule="auto"/>
              <w:ind w:left="122" w:righ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4.3术前待床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日(天)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二级手术</w:t>
            </w:r>
          </w:p>
        </w:tc>
        <w:tc>
          <w:tcPr>
            <w:tcW w:w="43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78" w:lineRule="auto"/>
              <w:ind w:left="115" w:righ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分别计算各级手术患者从入院时点至手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术时点的平均等候时间,以天为单位计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算</w:t>
            </w:r>
            <w:r>
              <w:rPr>
                <w:rFonts w:ascii="宋体" w:hAnsi="宋体" w:eastAsia="宋体" w:cs="宋体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三级手术</w:t>
            </w:r>
          </w:p>
        </w:tc>
        <w:tc>
          <w:tcPr>
            <w:tcW w:w="4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四级手术</w:t>
            </w:r>
          </w:p>
        </w:tc>
        <w:tc>
          <w:tcPr>
            <w:tcW w:w="4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4.4病床使用率(%)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451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5"/>
                <w:sz w:val="24"/>
                <w:szCs w:val="24"/>
              </w:rPr>
              <w:t>=实际占用总床日数/实际开放总床日数</w:t>
            </w:r>
          </w:p>
          <w:p>
            <w:pPr>
              <w:spacing w:before="1" w:line="157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2" w:lineRule="auto"/>
              <w:ind w:left="122" w:right="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4.5出院者平均住院日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=出院者占用总床日数/出院人次数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4.6门诊人次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本季度门诊患者人次数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4.7出院人次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本季度出院患者人次数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8"/>
              <w:ind w:left="115" w:right="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5.患者满意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度</w:t>
            </w: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总体满意度(%)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58" w:lineRule="auto"/>
              <w:ind w:left="115" w:righ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以第三方机构调查报告数据为准。三级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医疗机构和省属医疗机构应用省卫生健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康委满意度评价。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6.服务承诺</w:t>
            </w:r>
          </w:p>
        </w:tc>
        <w:tc>
          <w:tcPr>
            <w:tcW w:w="72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医疗机构主动向社会承诺的服务内容(含我省医疗机构统一和自选)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40"/>
          <w:pgMar w:top="1431" w:right="1435" w:bottom="1281" w:left="1534" w:header="0" w:footer="107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0" w:lineRule="exact"/>
      <w:ind w:firstLine="174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spacing w:val="-1"/>
        <w:position w:val="-3"/>
        <w:sz w:val="22"/>
        <w:szCs w:val="22"/>
      </w:rPr>
      <w:t>──4──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95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─5─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3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"/>
        <w:position w:val="-5"/>
        <w:sz w:val="36"/>
        <w:szCs w:val="36"/>
      </w:rPr>
      <w:t>─6─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82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─7─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1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3"/>
        <w:w w:val="71"/>
        <w:position w:val="-5"/>
        <w:sz w:val="36"/>
        <w:szCs w:val="36"/>
      </w:rPr>
      <w:t>──8──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7" w:lineRule="exact"/>
      <w:ind w:firstLine="799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position w:val="-3"/>
        <w:sz w:val="21"/>
        <w:szCs w:val="21"/>
      </w:rPr>
      <w:t>──9──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exact"/>
      <w:ind w:firstLine="12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position w:val="-4"/>
        <w:sz w:val="30"/>
        <w:szCs w:val="30"/>
      </w:rPr>
      <w:t>—</w:t>
    </w:r>
    <w:r>
      <w:rPr>
        <w:rFonts w:ascii="宋体" w:hAnsi="宋体" w:eastAsia="宋体" w:cs="宋体"/>
        <w:spacing w:val="74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10</w:t>
    </w:r>
    <w:r>
      <w:rPr>
        <w:rFonts w:ascii="宋体" w:hAnsi="宋体" w:eastAsia="宋体" w:cs="宋体"/>
        <w:spacing w:val="49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AEF79"/>
    <w:multiLevelType w:val="singleLevel"/>
    <w:tmpl w:val="094AEF7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NjQzNjlmNDkzMGNlZDlmMjM3M2EwOTYzMTVlNDMifQ=="/>
  </w:docVars>
  <w:rsids>
    <w:rsidRoot w:val="17E22D9B"/>
    <w:rsid w:val="036A2172"/>
    <w:rsid w:val="038E2464"/>
    <w:rsid w:val="04403882"/>
    <w:rsid w:val="04B47B33"/>
    <w:rsid w:val="04F83DB2"/>
    <w:rsid w:val="05D37841"/>
    <w:rsid w:val="073C7947"/>
    <w:rsid w:val="0B212DFC"/>
    <w:rsid w:val="0BC0429C"/>
    <w:rsid w:val="0C31112F"/>
    <w:rsid w:val="0D004C93"/>
    <w:rsid w:val="0E0273BE"/>
    <w:rsid w:val="0EF031BA"/>
    <w:rsid w:val="0FCE0D70"/>
    <w:rsid w:val="10B77210"/>
    <w:rsid w:val="10DE7D98"/>
    <w:rsid w:val="11A70E65"/>
    <w:rsid w:val="12D82BD4"/>
    <w:rsid w:val="13143B13"/>
    <w:rsid w:val="1380268A"/>
    <w:rsid w:val="17E22D9B"/>
    <w:rsid w:val="189A41EE"/>
    <w:rsid w:val="193E726F"/>
    <w:rsid w:val="1A5C70F7"/>
    <w:rsid w:val="1C032DB0"/>
    <w:rsid w:val="1D764C0A"/>
    <w:rsid w:val="1DC23A80"/>
    <w:rsid w:val="1FF46958"/>
    <w:rsid w:val="20B07A0F"/>
    <w:rsid w:val="21B559CA"/>
    <w:rsid w:val="22CA3336"/>
    <w:rsid w:val="24BD6114"/>
    <w:rsid w:val="24F10325"/>
    <w:rsid w:val="264B410B"/>
    <w:rsid w:val="26561413"/>
    <w:rsid w:val="289E3886"/>
    <w:rsid w:val="28CF227B"/>
    <w:rsid w:val="28EB4B29"/>
    <w:rsid w:val="29730E2F"/>
    <w:rsid w:val="2B0B2D29"/>
    <w:rsid w:val="2C697D08"/>
    <w:rsid w:val="2C8F5F80"/>
    <w:rsid w:val="2DA514D2"/>
    <w:rsid w:val="2E2276FF"/>
    <w:rsid w:val="2E6B1F72"/>
    <w:rsid w:val="2E9B6256"/>
    <w:rsid w:val="2EA76C94"/>
    <w:rsid w:val="2EF45F38"/>
    <w:rsid w:val="2FD47B8E"/>
    <w:rsid w:val="30DB08CA"/>
    <w:rsid w:val="31316746"/>
    <w:rsid w:val="32AC7FC0"/>
    <w:rsid w:val="332E0B49"/>
    <w:rsid w:val="33305A23"/>
    <w:rsid w:val="339878A9"/>
    <w:rsid w:val="34523167"/>
    <w:rsid w:val="34AF21ED"/>
    <w:rsid w:val="353E6612"/>
    <w:rsid w:val="36783969"/>
    <w:rsid w:val="377B1B95"/>
    <w:rsid w:val="389223B5"/>
    <w:rsid w:val="3901019A"/>
    <w:rsid w:val="39184C9A"/>
    <w:rsid w:val="3922056D"/>
    <w:rsid w:val="3929719C"/>
    <w:rsid w:val="3B601220"/>
    <w:rsid w:val="3CD0651B"/>
    <w:rsid w:val="3D582B67"/>
    <w:rsid w:val="3E285EBC"/>
    <w:rsid w:val="403401D4"/>
    <w:rsid w:val="42471491"/>
    <w:rsid w:val="45831EB1"/>
    <w:rsid w:val="45E2495B"/>
    <w:rsid w:val="468661A6"/>
    <w:rsid w:val="47D82D59"/>
    <w:rsid w:val="4B3C08BF"/>
    <w:rsid w:val="4CEF3B10"/>
    <w:rsid w:val="4D0C050F"/>
    <w:rsid w:val="4D54465B"/>
    <w:rsid w:val="4DEF0B6F"/>
    <w:rsid w:val="4E383F26"/>
    <w:rsid w:val="4E49775B"/>
    <w:rsid w:val="4F5A734A"/>
    <w:rsid w:val="50B25872"/>
    <w:rsid w:val="51774594"/>
    <w:rsid w:val="518B2E7D"/>
    <w:rsid w:val="520E5916"/>
    <w:rsid w:val="52AA08B5"/>
    <w:rsid w:val="53670B3D"/>
    <w:rsid w:val="56C360E3"/>
    <w:rsid w:val="574F5D09"/>
    <w:rsid w:val="59BA16DB"/>
    <w:rsid w:val="59D643DC"/>
    <w:rsid w:val="5A1605EC"/>
    <w:rsid w:val="5B9C5154"/>
    <w:rsid w:val="5BEA5291"/>
    <w:rsid w:val="5C081FEE"/>
    <w:rsid w:val="5C963944"/>
    <w:rsid w:val="5CCB25EF"/>
    <w:rsid w:val="5E066241"/>
    <w:rsid w:val="5E257683"/>
    <w:rsid w:val="5E931F6C"/>
    <w:rsid w:val="60F20490"/>
    <w:rsid w:val="62083543"/>
    <w:rsid w:val="621A53E8"/>
    <w:rsid w:val="64B17A30"/>
    <w:rsid w:val="64C574CA"/>
    <w:rsid w:val="673E000D"/>
    <w:rsid w:val="67E6636C"/>
    <w:rsid w:val="68A2788C"/>
    <w:rsid w:val="6A1A790B"/>
    <w:rsid w:val="6A9F256B"/>
    <w:rsid w:val="6D5C5302"/>
    <w:rsid w:val="6E2A65EF"/>
    <w:rsid w:val="6E5653FC"/>
    <w:rsid w:val="6F845855"/>
    <w:rsid w:val="70A92E1D"/>
    <w:rsid w:val="71755DD4"/>
    <w:rsid w:val="73452ABA"/>
    <w:rsid w:val="7402320C"/>
    <w:rsid w:val="760F67F7"/>
    <w:rsid w:val="785D05AD"/>
    <w:rsid w:val="78714FD3"/>
    <w:rsid w:val="7A804167"/>
    <w:rsid w:val="7C9A713C"/>
    <w:rsid w:val="7D0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1985</Words>
  <Characters>2724</Characters>
  <Lines>0</Lines>
  <Paragraphs>0</Paragraphs>
  <TotalTime>6</TotalTime>
  <ScaleCrop>false</ScaleCrop>
  <LinksUpToDate>false</LinksUpToDate>
  <CharactersWithSpaces>2952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2022-05-24T07:39:00Z</dcterms:created>
  <dc:creator>鹿麟</dc:creator>
  <cp:lastModifiedBy>鹿麟</cp:lastModifiedBy>
  <dcterms:modified xsi:type="dcterms:W3CDTF">2023-10-24T09:31:03Z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39AC090C77C542EF87488D10040F9776_13</vt:lpwstr>
  </property>
</Properties>
</file>