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体外循环插管及穿刺附件、一次性可视化包皮切割吻合器采购项目（第一包）（三次）</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4"/>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20</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216158623"/>
      <w:bookmarkStart w:id="1" w:name="_Toc363199264"/>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皖西卫生职业学院附属医院体外循环插管及穿刺附件、一次性可视化包皮切割吻合器采购项目（第一包）（三次）</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皖西卫生职业学院附属医院体外循环插管及穿刺附件、一次性可视化包皮切割吻合器采购项目（第一包）（三次）</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26</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LARX-20240401-3</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皖西卫生职业学院附属医院体外循环插管及穿刺附件、一次性可视化包皮切割吻合器采购项目（第一包）（三次）</w:t>
      </w:r>
      <w:bookmarkStart w:id="49" w:name="_GoBack"/>
      <w:bookmarkEnd w:id="49"/>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w:t>
      </w:r>
      <w:r>
        <w:rPr>
          <w:rFonts w:hint="eastAsia" w:ascii="宋体" w:hAnsi="宋体" w:cs="宋体"/>
          <w:color w:val="000000" w:themeColor="text1"/>
          <w:sz w:val="24"/>
          <w:lang w:val="en-US" w:eastAsia="zh-CN"/>
          <w14:textFill>
            <w14:solidFill>
              <w14:schemeClr w14:val="tx1"/>
            </w14:solidFill>
          </w14:textFill>
        </w:rPr>
        <w:t>165000.00</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7</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8</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9</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皖西卫生职业学院附属医院体外循环插管及穿刺附件、一次性可视化包皮切割吻合器采购项目（第一包）（三次）</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26</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26</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23</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3"/>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皖西卫生职业学院附属医院体外循环插管及穿刺附件、一次性可视化包皮切割吻合器采购项目（第一包）（三次）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20659"/>
      <w:bookmarkStart w:id="11" w:name="_Toc363199266"/>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6"/>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6"/>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p>
      <w:pPr>
        <w:shd w:val="clear"/>
        <w:jc w:val="center"/>
        <w:rPr>
          <w:rFonts w:hint="eastAsia" w:ascii="微软雅黑" w:hAnsi="微软雅黑" w:eastAsia="微软雅黑"/>
          <w:b/>
          <w:bCs/>
          <w:color w:val="auto"/>
          <w:sz w:val="24"/>
          <w:szCs w:val="24"/>
          <w:lang w:val="en-US" w:eastAsia="zh-CN"/>
        </w:rPr>
      </w:pPr>
      <w:r>
        <w:rPr>
          <w:rFonts w:hint="eastAsia" w:ascii="微软雅黑" w:hAnsi="微软雅黑" w:eastAsia="微软雅黑"/>
          <w:b/>
          <w:bCs/>
          <w:color w:val="auto"/>
          <w:sz w:val="24"/>
          <w:szCs w:val="24"/>
          <w:lang w:val="en-US" w:eastAsia="zh-CN"/>
        </w:rPr>
        <w:t>第一包  皖西卫生职业学院附属医院体外循环插管及穿刺附件采购项目</w:t>
      </w:r>
    </w:p>
    <w:p>
      <w:pPr>
        <w:keepNext w:val="0"/>
        <w:keepLines w:val="0"/>
        <w:widowControl/>
        <w:suppressLineNumbers w:val="0"/>
        <w:ind w:firstLine="560" w:firstLineChars="20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拟采购的货物说明：我院20</w:t>
      </w:r>
      <w:r>
        <w:rPr>
          <w:rFonts w:hint="eastAsia" w:ascii="宋体" w:hAnsi="宋体" w:cs="宋体"/>
          <w:i w:val="0"/>
          <w:iCs w:val="0"/>
          <w:color w:val="000000"/>
          <w:kern w:val="0"/>
          <w:sz w:val="28"/>
          <w:szCs w:val="28"/>
          <w:u w:val="none"/>
          <w:lang w:val="en-US" w:eastAsia="zh-CN" w:bidi="ar"/>
        </w:rPr>
        <w:t>23</w:t>
      </w:r>
      <w:r>
        <w:rPr>
          <w:rFonts w:hint="eastAsia" w:ascii="宋体" w:hAnsi="宋体" w:eastAsia="宋体" w:cs="宋体"/>
          <w:i w:val="0"/>
          <w:iCs w:val="0"/>
          <w:color w:val="000000"/>
          <w:kern w:val="0"/>
          <w:sz w:val="28"/>
          <w:szCs w:val="28"/>
          <w:u w:val="none"/>
          <w:lang w:val="en-US" w:eastAsia="zh-CN" w:bidi="ar"/>
        </w:rPr>
        <w:t>年购买</w:t>
      </w:r>
      <w:r>
        <w:rPr>
          <w:rFonts w:hint="eastAsia" w:ascii="宋体" w:hAnsi="宋体" w:cs="宋体"/>
          <w:i w:val="0"/>
          <w:iCs w:val="0"/>
          <w:color w:val="000000"/>
          <w:kern w:val="0"/>
          <w:sz w:val="28"/>
          <w:szCs w:val="28"/>
          <w:u w:val="none"/>
          <w:lang w:val="en-US" w:eastAsia="zh-CN" w:bidi="ar"/>
        </w:rPr>
        <w:t>体外心肺支持辅助设备（</w:t>
      </w:r>
      <w:r>
        <w:rPr>
          <w:rFonts w:hint="eastAsia" w:ascii="宋体" w:hAnsi="宋体" w:eastAsia="宋体" w:cs="宋体"/>
          <w:i w:val="0"/>
          <w:iCs w:val="0"/>
          <w:color w:val="000000"/>
          <w:kern w:val="0"/>
          <w:sz w:val="28"/>
          <w:szCs w:val="28"/>
          <w:u w:val="none"/>
          <w:lang w:val="en-US" w:eastAsia="zh-CN" w:bidi="ar"/>
        </w:rPr>
        <w:t>型号：</w:t>
      </w:r>
      <w:r>
        <w:rPr>
          <w:rFonts w:hint="eastAsia" w:ascii="宋体" w:hAnsi="宋体" w:cs="宋体"/>
          <w:i w:val="0"/>
          <w:iCs w:val="0"/>
          <w:color w:val="000000"/>
          <w:kern w:val="0"/>
          <w:sz w:val="28"/>
          <w:szCs w:val="28"/>
          <w:u w:val="none"/>
          <w:lang w:val="en-US" w:eastAsia="zh-CN" w:bidi="ar"/>
        </w:rPr>
        <w:t>LM-ECMO-1000</w:t>
      </w:r>
      <w:r>
        <w:rPr>
          <w:rFonts w:hint="eastAsia" w:ascii="宋体" w:hAnsi="宋体" w:eastAsia="宋体" w:cs="宋体"/>
          <w:i w:val="0"/>
          <w:iCs w:val="0"/>
          <w:color w:val="000000"/>
          <w:kern w:val="0"/>
          <w:sz w:val="28"/>
          <w:szCs w:val="28"/>
          <w:u w:val="none"/>
          <w:lang w:val="en-US" w:eastAsia="zh-CN" w:bidi="ar"/>
        </w:rPr>
        <w:t>，品牌：</w:t>
      </w:r>
      <w:r>
        <w:rPr>
          <w:rFonts w:hint="eastAsia" w:ascii="宋体" w:hAnsi="宋体" w:cs="宋体"/>
          <w:i w:val="0"/>
          <w:iCs w:val="0"/>
          <w:color w:val="000000"/>
          <w:kern w:val="0"/>
          <w:sz w:val="28"/>
          <w:szCs w:val="28"/>
          <w:u w:val="none"/>
          <w:lang w:val="en-US" w:eastAsia="zh-CN" w:bidi="ar"/>
        </w:rPr>
        <w:t>深圳汉诺）</w:t>
      </w:r>
      <w:r>
        <w:rPr>
          <w:rFonts w:hint="eastAsia" w:ascii="宋体" w:hAnsi="宋体" w:eastAsia="宋体" w:cs="宋体"/>
          <w:i w:val="0"/>
          <w:iCs w:val="0"/>
          <w:color w:val="000000"/>
          <w:kern w:val="0"/>
          <w:sz w:val="28"/>
          <w:szCs w:val="28"/>
          <w:u w:val="none"/>
          <w:lang w:val="en-US" w:eastAsia="zh-CN" w:bidi="ar"/>
        </w:rPr>
        <w:t>，</w:t>
      </w:r>
      <w:r>
        <w:rPr>
          <w:rFonts w:hint="eastAsia" w:ascii="宋体" w:hAnsi="宋体" w:cs="宋体"/>
          <w:i w:val="0"/>
          <w:iCs w:val="0"/>
          <w:color w:val="000000"/>
          <w:kern w:val="0"/>
          <w:sz w:val="28"/>
          <w:szCs w:val="28"/>
          <w:u w:val="none"/>
          <w:lang w:val="en-US" w:eastAsia="zh-CN" w:bidi="ar"/>
        </w:rPr>
        <w:t>并顺利开展</w:t>
      </w:r>
      <w:r>
        <w:rPr>
          <w:rFonts w:hint="eastAsia" w:ascii="宋体" w:hAnsi="宋体" w:eastAsia="宋体" w:cs="宋体"/>
          <w:i w:val="0"/>
          <w:iCs w:val="0"/>
          <w:color w:val="000000"/>
          <w:kern w:val="0"/>
          <w:sz w:val="28"/>
          <w:szCs w:val="28"/>
          <w:u w:val="none"/>
          <w:lang w:val="en-US" w:eastAsia="zh-CN" w:bidi="ar"/>
        </w:rPr>
        <w:t>体外人工膜肺(ECMO)安装术</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体外循环插管及穿刺附件</w:t>
      </w:r>
      <w:r>
        <w:rPr>
          <w:rFonts w:hint="eastAsia" w:ascii="宋体" w:hAnsi="宋体" w:cs="宋体"/>
          <w:i w:val="0"/>
          <w:iCs w:val="0"/>
          <w:color w:val="000000"/>
          <w:kern w:val="0"/>
          <w:sz w:val="28"/>
          <w:szCs w:val="28"/>
          <w:u w:val="none"/>
          <w:lang w:val="en-US" w:eastAsia="zh-CN" w:bidi="ar"/>
        </w:rPr>
        <w:t>系该技术开展必须耗材，</w:t>
      </w:r>
      <w:r>
        <w:rPr>
          <w:rFonts w:hint="eastAsia" w:ascii="宋体" w:hAnsi="宋体" w:eastAsia="宋体" w:cs="宋体"/>
          <w:i w:val="0"/>
          <w:iCs w:val="0"/>
          <w:color w:val="000000"/>
          <w:kern w:val="0"/>
          <w:sz w:val="28"/>
          <w:szCs w:val="28"/>
          <w:u w:val="none"/>
          <w:lang w:val="en-US" w:eastAsia="zh-CN" w:bidi="ar"/>
        </w:rPr>
        <w:t>年预开展</w:t>
      </w:r>
      <w:r>
        <w:rPr>
          <w:rFonts w:hint="eastAsia" w:ascii="宋体" w:hAnsi="宋体" w:cs="宋体"/>
          <w:i w:val="0"/>
          <w:iCs w:val="0"/>
          <w:color w:val="000000"/>
          <w:kern w:val="0"/>
          <w:sz w:val="28"/>
          <w:szCs w:val="28"/>
          <w:u w:val="none"/>
          <w:lang w:val="en-US" w:eastAsia="zh-CN" w:bidi="ar"/>
        </w:rPr>
        <w:t>6</w:t>
      </w:r>
      <w:r>
        <w:rPr>
          <w:rFonts w:hint="eastAsia" w:ascii="宋体" w:hAnsi="宋体" w:eastAsia="宋体" w:cs="宋体"/>
          <w:i w:val="0"/>
          <w:iCs w:val="0"/>
          <w:color w:val="000000"/>
          <w:kern w:val="0"/>
          <w:sz w:val="28"/>
          <w:szCs w:val="28"/>
          <w:u w:val="none"/>
          <w:lang w:val="en-US" w:eastAsia="zh-CN" w:bidi="ar"/>
        </w:rPr>
        <w:t>例左右。</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体外循环插管相关参数要求</w:t>
      </w:r>
      <w:r>
        <w:rPr>
          <w:rFonts w:hint="eastAsia" w:ascii="宋体" w:hAnsi="宋体" w:cs="宋体"/>
          <w:i w:val="0"/>
          <w:iCs w:val="0"/>
          <w:color w:val="000000"/>
          <w:kern w:val="0"/>
          <w:sz w:val="28"/>
          <w:szCs w:val="28"/>
          <w:u w:val="none"/>
          <w:lang w:val="en-US" w:eastAsia="zh-CN" w:bidi="ar"/>
        </w:rPr>
        <w:t>：</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所投耗材匹配我院体外膜肺置管使用，包括各规格插管、各规格穿刺附件；</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采用生物相容性较高的聚氨酯作为插管材料；</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★3、插管超薄管壁配以内钢丝固定，必须具备有肝素涂层；</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★4、提供多种规格型号插管（15Fr.17Fr.19Fr.21Fr.23Fr），血管内留置时间为≥30天。</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★5、提供多种插管长度选择（15cm、23cm、38cm、55cm），血管内留置时间为≥30天；</w:t>
      </w:r>
    </w:p>
    <w:p>
      <w:pPr>
        <w:keepNext w:val="0"/>
        <w:keepLines w:val="0"/>
        <w:widowControl/>
        <w:numPr>
          <w:ilvl w:val="0"/>
          <w:numId w:val="5"/>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具备刻度标记控制插入深度、具备终止环确保及限定最大插入深度；★7、用于回流端插管末端至少有一对测孔、用于流出端插管末端至少有三对测孔。</w:t>
      </w:r>
    </w:p>
    <w:p>
      <w:pPr>
        <w:keepNext w:val="0"/>
        <w:keepLines w:val="0"/>
        <w:widowControl/>
        <w:numPr>
          <w:ilvl w:val="0"/>
          <w:numId w:val="0"/>
        </w:numPr>
        <w:suppressLineNumbers w:val="0"/>
        <w:jc w:val="both"/>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穿刺附件相关参数要求：</w:t>
      </w:r>
    </w:p>
    <w:p>
      <w:pPr>
        <w:keepNext w:val="0"/>
        <w:keepLines w:val="0"/>
        <w:widowControl/>
        <w:numPr>
          <w:ilvl w:val="0"/>
          <w:numId w:val="0"/>
        </w:numPr>
        <w:suppressLineNumbers w:val="0"/>
        <w:ind w:left="559" w:leftChars="133" w:hanging="280" w:hanging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 穿刺包内必须具备4段扩张器：10/12Fr、12/14Fr、14/16Fr、16/18Fr；2、0.038”×100cm动脉插管导丝；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3、0.038”×150cm静脉插管导丝；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4、导丝输送器。</w:t>
      </w:r>
    </w:p>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3"/>
        <w:gridCol w:w="1784"/>
        <w:gridCol w:w="1569"/>
        <w:gridCol w:w="716"/>
        <w:gridCol w:w="1319"/>
        <w:gridCol w:w="775"/>
        <w:gridCol w:w="129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体外循环插管及穿刺附件招标需求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单价限价</w:t>
            </w:r>
            <w:r>
              <w:rPr>
                <w:rFonts w:hint="eastAsia" w:ascii="宋体" w:hAnsi="宋体" w:cs="宋体"/>
                <w:i w:val="0"/>
                <w:iCs w:val="0"/>
                <w:color w:val="000000"/>
                <w:kern w:val="0"/>
                <w:sz w:val="24"/>
                <w:szCs w:val="24"/>
                <w:u w:val="none"/>
                <w:lang w:val="en-US" w:eastAsia="zh-CN" w:bidi="ar"/>
              </w:rPr>
              <w:t>（元）</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PIK150</w:t>
            </w:r>
          </w:p>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i w:val="0"/>
                <w:iCs w:val="0"/>
                <w:color w:val="000000"/>
                <w:kern w:val="0"/>
                <w:sz w:val="24"/>
                <w:szCs w:val="24"/>
                <w:u w:val="none"/>
                <w:lang w:val="en-US" w:eastAsia="zh-CN" w:bidi="ar"/>
              </w:rPr>
              <w:t>PIK1</w:t>
            </w:r>
            <w:r>
              <w:rPr>
                <w:rFonts w:hint="eastAsia" w:ascii="宋体" w:hAnsi="宋体" w:cs="宋体"/>
                <w:b w:val="0"/>
                <w:bCs/>
                <w:i w:val="0"/>
                <w:iCs w:val="0"/>
                <w:color w:val="000000"/>
                <w:kern w:val="0"/>
                <w:sz w:val="24"/>
                <w:szCs w:val="24"/>
                <w:u w:val="none"/>
                <w:lang w:val="en-US" w:eastAsia="zh-CN" w:bidi="ar"/>
              </w:rPr>
              <w:t>0</w:t>
            </w:r>
            <w:r>
              <w:rPr>
                <w:rFonts w:hint="eastAsia" w:ascii="宋体" w:hAnsi="宋体" w:eastAsia="宋体" w:cs="宋体"/>
                <w:b w:val="0"/>
                <w:bCs/>
                <w:i w:val="0"/>
                <w:iCs w:val="0"/>
                <w:color w:val="000000"/>
                <w:kern w:val="0"/>
                <w:sz w:val="24"/>
                <w:szCs w:val="24"/>
                <w:u w:val="none"/>
                <w:lang w:val="en-US" w:eastAsia="zh-CN" w:bidi="ar"/>
              </w:rPr>
              <w:t>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15000.00</w:t>
            </w:r>
          </w:p>
        </w:tc>
        <w:tc>
          <w:tcPr>
            <w:tcW w:w="43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穿刺附件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auto"/>
                <w:kern w:val="0"/>
                <w:sz w:val="24"/>
                <w:szCs w:val="24"/>
                <w:u w:val="none"/>
                <w:lang w:val="en-US" w:eastAsia="zh-CN" w:bidi="ar"/>
              </w:rPr>
            </w:pPr>
            <w:r>
              <w:rPr>
                <w:rFonts w:hint="eastAsia" w:ascii="宋体" w:hAnsi="宋体" w:eastAsia="宋体" w:cs="宋体"/>
                <w:b w:val="0"/>
                <w:bCs/>
                <w:i w:val="0"/>
                <w:iCs w:val="0"/>
                <w:color w:val="auto"/>
                <w:kern w:val="0"/>
                <w:sz w:val="24"/>
                <w:szCs w:val="24"/>
                <w:u w:val="none"/>
                <w:lang w:val="en-US" w:eastAsia="zh-CN" w:bidi="ar"/>
              </w:rPr>
              <w:t>BE-PVL2355</w:t>
            </w:r>
          </w:p>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BE-PVL2155</w:t>
            </w:r>
          </w:p>
          <w:p>
            <w:pPr>
              <w:jc w:val="both"/>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w:t>
            </w:r>
            <w:r>
              <w:rPr>
                <w:rFonts w:hint="eastAsia" w:ascii="宋体" w:hAnsi="宋体" w:cs="宋体"/>
                <w:b w:val="0"/>
                <w:bCs/>
                <w:i w:val="0"/>
                <w:iCs w:val="0"/>
                <w:color w:val="000000"/>
                <w:kern w:val="0"/>
                <w:sz w:val="24"/>
                <w:szCs w:val="24"/>
                <w:u w:val="none"/>
                <w:lang w:val="en-US" w:eastAsia="zh-CN" w:bidi="ar"/>
              </w:rPr>
              <w:t>19</w:t>
            </w:r>
            <w:r>
              <w:rPr>
                <w:rFonts w:hint="eastAsia" w:ascii="宋体" w:hAnsi="宋体" w:eastAsia="宋体" w:cs="宋体"/>
                <w:b w:val="0"/>
                <w:bCs/>
                <w:i w:val="0"/>
                <w:iCs w:val="0"/>
                <w:color w:val="000000"/>
                <w:kern w:val="0"/>
                <w:sz w:val="24"/>
                <w:szCs w:val="24"/>
                <w:u w:val="none"/>
                <w:lang w:val="en-US" w:eastAsia="zh-CN" w:bidi="ar"/>
              </w:rPr>
              <w:t>55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静脉插管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BE-PAL1723</w:t>
            </w:r>
          </w:p>
          <w:p>
            <w:pPr>
              <w:jc w:val="both"/>
              <w:rPr>
                <w:rFonts w:hint="default" w:ascii="宋体" w:hAnsi="宋体" w:eastAsia="宋体" w:cs="宋体"/>
                <w:i w:val="0"/>
                <w:iCs w:val="0"/>
                <w:color w:val="000000"/>
                <w:sz w:val="24"/>
                <w:szCs w:val="24"/>
                <w:u w:val="none"/>
                <w:lang w:val="en-US"/>
              </w:rPr>
            </w:pPr>
            <w:r>
              <w:rPr>
                <w:rFonts w:hint="eastAsia" w:ascii="宋体" w:hAnsi="宋体" w:eastAsia="宋体" w:cs="宋体"/>
                <w:b w:val="0"/>
                <w:bCs/>
                <w:i w:val="0"/>
                <w:iCs w:val="0"/>
                <w:color w:val="000000"/>
                <w:kern w:val="0"/>
                <w:sz w:val="24"/>
                <w:szCs w:val="24"/>
                <w:u w:val="none"/>
                <w:lang w:val="en-US" w:eastAsia="zh-CN" w:bidi="ar"/>
              </w:rPr>
              <w:t>BE-PAL1523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动脉</w:t>
            </w:r>
            <w:r>
              <w:rPr>
                <w:rFonts w:hint="eastAsia" w:ascii="宋体" w:hAnsi="宋体" w:eastAsia="宋体" w:cs="宋体"/>
                <w:b w:val="0"/>
                <w:bCs/>
                <w:i w:val="0"/>
                <w:iCs w:val="0"/>
                <w:color w:val="000000"/>
                <w:kern w:val="0"/>
                <w:sz w:val="24"/>
                <w:szCs w:val="24"/>
                <w:u w:val="none"/>
                <w:lang w:val="en-US" w:eastAsia="zh-CN" w:bidi="ar"/>
              </w:rPr>
              <w:t>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pacing w:line="340" w:lineRule="exact"/>
        <w:ind w:firstLine="720" w:firstLineChars="300"/>
        <w:jc w:val="left"/>
        <w:rPr>
          <w:rFonts w:hint="eastAsia" w:ascii="仿宋" w:hAnsi="仿宋" w:eastAsia="仿宋" w:cs="仿宋"/>
          <w:color w:val="000000"/>
          <w:sz w:val="24"/>
          <w:szCs w:val="24"/>
          <w:lang w:val="en-US" w:eastAsia="zh-CN"/>
        </w:rPr>
      </w:pPr>
    </w:p>
    <w:p>
      <w:pPr>
        <w:spacing w:line="340" w:lineRule="exact"/>
        <w:jc w:val="left"/>
        <w:rPr>
          <w:rFonts w:hint="eastAsia" w:ascii="仿宋" w:hAnsi="仿宋" w:eastAsia="仿宋" w:cs="仿宋"/>
          <w:color w:val="000000"/>
          <w:sz w:val="24"/>
          <w:szCs w:val="24"/>
          <w:lang w:val="en-US" w:eastAsia="zh-CN"/>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0"/>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6.表格中体现的规格型号仅表达医院需求，不作为投标限制。</w:t>
      </w:r>
    </w:p>
    <w:p>
      <w:pP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br w:type="page"/>
      </w:r>
    </w:p>
    <w:p>
      <w:pPr>
        <w:pStyle w:val="20"/>
        <w:ind w:firstLine="1400" w:firstLineChars="500"/>
        <w:rPr>
          <w:rFonts w:hint="eastAsia" w:ascii="宋体" w:hAnsi="宋体" w:eastAsia="宋体" w:cs="宋体"/>
          <w:color w:val="000000" w:themeColor="text1"/>
          <w:sz w:val="28"/>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3"/>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2"/>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4"/>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4"/>
        <w:ind w:left="0" w:leftChars="0" w:firstLine="0" w:firstLineChars="0"/>
        <w:rPr>
          <w:color w:val="000000" w:themeColor="text1"/>
          <w14:textFill>
            <w14:solidFill>
              <w14:schemeClr w14:val="tx1"/>
            </w14:solidFill>
          </w14:textFill>
        </w:rPr>
      </w:pPr>
    </w:p>
    <w:p>
      <w:pPr>
        <w:pStyle w:val="3"/>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4"/>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4"/>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3"/>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皖西卫生职业学院附属医院体外循环插管及穿刺附件、一次性可视化包皮切割吻合器采购项目（第一包）（三次）</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6"/>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皖西卫生职业学院附属医院体外循环插管及穿刺附件、一次性可视化包皮切割吻合器采购项目（第一包）（三次）进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2"/>
                <w:sz w:val="22"/>
                <w:szCs w:val="22"/>
                <w:u w:val="none"/>
                <w:lang w:val="en-US" w:eastAsia="zh-CN" w:bidi="ar-SA"/>
              </w:rPr>
              <w:t>皖西卫生职业学院附属医院</w:t>
            </w:r>
            <w:r>
              <w:rPr>
                <w:rFonts w:hint="eastAsia" w:ascii="宋体" w:hAnsi="宋体" w:cs="宋体"/>
                <w:b w:val="0"/>
                <w:bCs/>
                <w:i w:val="0"/>
                <w:iCs w:val="0"/>
                <w:color w:val="000000"/>
                <w:kern w:val="2"/>
                <w:sz w:val="22"/>
                <w:szCs w:val="22"/>
                <w:u w:val="none"/>
                <w:lang w:val="en-US" w:eastAsia="zh-CN" w:bidi="ar-SA"/>
              </w:rPr>
              <w:t>体外循环插管及穿刺附件、一次性可视化包皮切割吻合器采购项目（第一包）（三次）</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2BFB0C9-D23C-4CD2-8518-73FD2E1EB6BC}"/>
  </w:font>
  <w:font w:name="黑体">
    <w:panose1 w:val="02010609060101010101"/>
    <w:charset w:val="86"/>
    <w:family w:val="auto"/>
    <w:pitch w:val="default"/>
    <w:sig w:usb0="800002BF" w:usb1="38CF7CFA" w:usb2="00000016" w:usb3="00000000" w:csb0="00040001" w:csb1="00000000"/>
    <w:embedRegular r:id="rId2" w:fontKey="{7CE0D697-1D0F-4A66-9A02-CEC13FF7A53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C910D9B6-AC05-4C63-990A-374DCD7A7AA9}"/>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864E8DB4-28F4-4CE1-9572-21F24A4025E7}"/>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D1DFA310-7CAB-4903-9D86-E5A1CC2321A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4AF72CBA-1828-4E5C-9C5E-0F7EF5142051}"/>
  </w:font>
  <w:font w:name="Arial Black">
    <w:panose1 w:val="020B0A04020102020204"/>
    <w:charset w:val="00"/>
    <w:family w:val="swiss"/>
    <w:pitch w:val="default"/>
    <w:sig w:usb0="00000287" w:usb1="00000000" w:usb2="00000000" w:usb3="00000000" w:csb0="2000009F" w:csb1="DFD70000"/>
    <w:embedRegular r:id="rId7" w:fontKey="{24ADAA01-1FD0-4645-BC11-405D1746181E}"/>
  </w:font>
  <w:font w:name="华文彩云">
    <w:altName w:val="微软雅黑"/>
    <w:panose1 w:val="02010800040101010101"/>
    <w:charset w:val="86"/>
    <w:family w:val="auto"/>
    <w:pitch w:val="default"/>
    <w:sig w:usb0="00000000" w:usb1="00000000" w:usb2="00000000" w:usb3="00000000" w:csb0="00040000" w:csb1="00000000"/>
    <w:embedRegular r:id="rId8" w:fontKey="{ED655688-2754-4B74-848C-0DE1E5F8D820}"/>
  </w:font>
  <w:font w:name="DotumChe">
    <w:panose1 w:val="020B0609000101010101"/>
    <w:charset w:val="81"/>
    <w:family w:val="modern"/>
    <w:pitch w:val="default"/>
    <w:sig w:usb0="B00002AF" w:usb1="69D77CFB" w:usb2="00000030" w:usb3="00000000" w:csb0="4008009F" w:csb1="DFD70000"/>
    <w:embedRegular r:id="rId9" w:fontKey="{769B74D4-B84A-4045-815C-109875820620}"/>
  </w:font>
  <w:font w:name="华文中宋">
    <w:panose1 w:val="02010600040101010101"/>
    <w:charset w:val="86"/>
    <w:family w:val="auto"/>
    <w:pitch w:val="default"/>
    <w:sig w:usb0="00000287" w:usb1="080F0000" w:usb2="00000000" w:usb3="00000000" w:csb0="0004009F" w:csb1="DFD70000"/>
    <w:embedRegular r:id="rId10" w:fontKey="{AC37C9AD-5A5A-4534-BEEC-A045131F250E}"/>
  </w:font>
  <w:font w:name="微软雅黑">
    <w:panose1 w:val="020B0503020204020204"/>
    <w:charset w:val="86"/>
    <w:family w:val="auto"/>
    <w:pitch w:val="default"/>
    <w:sig w:usb0="80000287" w:usb1="280F3C52" w:usb2="00000016" w:usb3="00000000" w:csb0="0004001F" w:csb1="00000000"/>
    <w:embedRegular r:id="rId11" w:fontKey="{61B19698-7C76-4D6A-97DC-EC44C313180F}"/>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abstractNum w:abstractNumId="4">
    <w:nsid w:val="2A95C748"/>
    <w:multiLevelType w:val="singleLevel"/>
    <w:tmpl w:val="2A95C748"/>
    <w:lvl w:ilvl="0" w:tentative="0">
      <w:start w:val="1"/>
      <w:numFmt w:val="decimal"/>
      <w:suff w:val="nothing"/>
      <w:lvlText w:val="%1、"/>
      <w:lvlJc w:val="left"/>
    </w:lvl>
  </w:abstractNum>
  <w:abstractNum w:abstractNumId="5">
    <w:nsid w:val="3D0351E1"/>
    <w:multiLevelType w:val="singleLevel"/>
    <w:tmpl w:val="3D0351E1"/>
    <w:lvl w:ilvl="0" w:tentative="0">
      <w:start w:val="6"/>
      <w:numFmt w:val="decimal"/>
      <w:suff w:val="nothing"/>
      <w:lvlText w:val="%1、"/>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434E25"/>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8012C"/>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AFB5A59"/>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A63A65"/>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522285"/>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302753"/>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2140F8"/>
    <w:rsid w:val="6B617995"/>
    <w:rsid w:val="6B811C71"/>
    <w:rsid w:val="6BBC5B04"/>
    <w:rsid w:val="6BC9553B"/>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9A0DE4"/>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autoRedefine/>
    <w:qFormat/>
    <w:uiPriority w:val="0"/>
    <w:pPr>
      <w:keepNext/>
      <w:outlineLvl w:val="0"/>
    </w:pPr>
    <w:rPr>
      <w:sz w:val="28"/>
      <w:szCs w:val="24"/>
    </w:rPr>
  </w:style>
  <w:style w:type="paragraph" w:styleId="3">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Normal Indent"/>
    <w:basedOn w:val="1"/>
    <w:autoRedefine/>
    <w:qFormat/>
    <w:uiPriority w:val="0"/>
    <w:pPr>
      <w:spacing w:before="60"/>
      <w:ind w:firstLine="420" w:firstLineChars="200"/>
    </w:pPr>
    <w:rPr>
      <w:szCs w:val="24"/>
    </w:rPr>
  </w:style>
  <w:style w:type="paragraph" w:styleId="8">
    <w:name w:val="Document Map"/>
    <w:basedOn w:val="1"/>
    <w:link w:val="83"/>
    <w:autoRedefine/>
    <w:qFormat/>
    <w:uiPriority w:val="0"/>
    <w:pPr>
      <w:shd w:val="clear" w:color="auto" w:fill="000080"/>
    </w:pPr>
  </w:style>
  <w:style w:type="paragraph" w:styleId="9">
    <w:name w:val="annotation text"/>
    <w:basedOn w:val="1"/>
    <w:link w:val="77"/>
    <w:autoRedefine/>
    <w:semiHidden/>
    <w:qFormat/>
    <w:uiPriority w:val="99"/>
    <w:pPr>
      <w:jc w:val="left"/>
    </w:pPr>
  </w:style>
  <w:style w:type="paragraph" w:styleId="10">
    <w:name w:val="Body Text 3"/>
    <w:basedOn w:val="1"/>
    <w:link w:val="97"/>
    <w:autoRedefine/>
    <w:unhideWhenUsed/>
    <w:qFormat/>
    <w:uiPriority w:val="99"/>
    <w:pPr>
      <w:spacing w:after="120"/>
    </w:pPr>
    <w:rPr>
      <w:rFonts w:ascii="Calibri" w:hAnsi="Calibri"/>
      <w:sz w:val="16"/>
      <w:szCs w:val="16"/>
      <w:lang w:val="zh-CN"/>
    </w:rPr>
  </w:style>
  <w:style w:type="paragraph" w:styleId="11">
    <w:name w:val="Body Text"/>
    <w:basedOn w:val="1"/>
    <w:next w:val="12"/>
    <w:link w:val="72"/>
    <w:autoRedefine/>
    <w:qFormat/>
    <w:uiPriority w:val="0"/>
    <w:pPr>
      <w:spacing w:after="120"/>
    </w:pPr>
    <w:rPr>
      <w:szCs w:val="24"/>
    </w:rPr>
  </w:style>
  <w:style w:type="paragraph" w:styleId="12">
    <w:name w:val="Date"/>
    <w:basedOn w:val="1"/>
    <w:next w:val="1"/>
    <w:link w:val="60"/>
    <w:autoRedefine/>
    <w:qFormat/>
    <w:uiPriority w:val="0"/>
    <w:rPr>
      <w:rFonts w:ascii="Arial" w:hAnsi="Arial" w:eastAsia="楷体_GB2312"/>
      <w:sz w:val="28"/>
    </w:rPr>
  </w:style>
  <w:style w:type="paragraph" w:styleId="13">
    <w:name w:val="Body Text Indent"/>
    <w:basedOn w:val="1"/>
    <w:link w:val="61"/>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80"/>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19">
    <w:name w:val="Balloon Text"/>
    <w:basedOn w:val="1"/>
    <w:link w:val="74"/>
    <w:autoRedefine/>
    <w:qFormat/>
    <w:uiPriority w:val="0"/>
    <w:rPr>
      <w:sz w:val="18"/>
      <w:szCs w:val="18"/>
    </w:rPr>
  </w:style>
  <w:style w:type="paragraph" w:styleId="20">
    <w:name w:val="footer"/>
    <w:basedOn w:val="1"/>
    <w:link w:val="55"/>
    <w:autoRedefine/>
    <w:unhideWhenUsed/>
    <w:qFormat/>
    <w:uiPriority w:val="0"/>
    <w:pPr>
      <w:tabs>
        <w:tab w:val="center" w:pos="4153"/>
        <w:tab w:val="right" w:pos="8306"/>
      </w:tabs>
      <w:snapToGrid w:val="0"/>
      <w:jc w:val="left"/>
    </w:pPr>
    <w:rPr>
      <w:sz w:val="18"/>
      <w:szCs w:val="18"/>
    </w:rPr>
  </w:style>
  <w:style w:type="paragraph" w:styleId="21">
    <w:name w:val="envelope return"/>
    <w:basedOn w:val="1"/>
    <w:autoRedefine/>
    <w:unhideWhenUsed/>
    <w:qFormat/>
    <w:uiPriority w:val="99"/>
    <w:pPr>
      <w:snapToGrid w:val="0"/>
    </w:pPr>
    <w:rPr>
      <w:rFonts w:ascii="Arial" w:hAnsi="Arial" w:cs="Arial"/>
    </w:rPr>
  </w:style>
  <w:style w:type="paragraph" w:styleId="22">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420" w:hanging="420"/>
    </w:pPr>
    <w:rPr>
      <w:rFonts w:ascii="Arial" w:hAnsi="Arial" w:eastAsia="楷体_GB2312"/>
      <w:kern w:val="2"/>
      <w:sz w:val="28"/>
    </w:rPr>
  </w:style>
  <w:style w:type="paragraph" w:styleId="26">
    <w:name w:val="toc 6"/>
    <w:basedOn w:val="1"/>
    <w:next w:val="1"/>
    <w:autoRedefine/>
    <w:qFormat/>
    <w:uiPriority w:val="0"/>
    <w:pPr>
      <w:ind w:left="2100" w:leftChars="1000"/>
    </w:pPr>
  </w:style>
  <w:style w:type="paragraph" w:styleId="27">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9"/>
    <w:next w:val="9"/>
    <w:link w:val="78"/>
    <w:autoRedefine/>
    <w:semiHidden/>
    <w:qFormat/>
    <w:uiPriority w:val="99"/>
    <w:rPr>
      <w:b/>
      <w:bCs/>
    </w:rPr>
  </w:style>
  <w:style w:type="paragraph" w:styleId="34">
    <w:name w:val="Body Text First Indent"/>
    <w:basedOn w:val="11"/>
    <w:autoRedefine/>
    <w:unhideWhenUsed/>
    <w:qFormat/>
    <w:uiPriority w:val="99"/>
    <w:pPr>
      <w:spacing w:line="400" w:lineRule="atLeast"/>
      <w:ind w:firstLine="426"/>
    </w:pPr>
    <w:rPr>
      <w:sz w:val="24"/>
      <w:szCs w:val="20"/>
    </w:rPr>
  </w:style>
  <w:style w:type="paragraph" w:styleId="35">
    <w:name w:val="Body Text First Indent 2"/>
    <w:basedOn w:val="13"/>
    <w:link w:val="106"/>
    <w:autoRedefine/>
    <w:semiHidden/>
    <w:unhideWhenUsed/>
    <w:qFormat/>
    <w:uiPriority w:val="99"/>
    <w:pPr>
      <w:spacing w:after="120"/>
      <w:ind w:left="420" w:leftChars="200" w:firstLine="420" w:firstLineChars="200"/>
    </w:pPr>
    <w:rPr>
      <w:rFonts w:eastAsia="宋体"/>
      <w:sz w:val="21"/>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2"/>
    <w:autoRedefine/>
    <w:qFormat/>
    <w:uiPriority w:val="0"/>
    <w:rPr>
      <w:sz w:val="18"/>
      <w:szCs w:val="18"/>
    </w:rPr>
  </w:style>
  <w:style w:type="character" w:customStyle="1" w:styleId="55">
    <w:name w:val="页脚 Char"/>
    <w:basedOn w:val="38"/>
    <w:link w:val="20"/>
    <w:autoRedefine/>
    <w:qFormat/>
    <w:uiPriority w:val="0"/>
    <w:rPr>
      <w:sz w:val="18"/>
      <w:szCs w:val="18"/>
    </w:rPr>
  </w:style>
  <w:style w:type="character" w:customStyle="1" w:styleId="56">
    <w:name w:val="标题 1 Char"/>
    <w:basedOn w:val="38"/>
    <w:link w:val="2"/>
    <w:autoRedefine/>
    <w:qFormat/>
    <w:uiPriority w:val="0"/>
    <w:rPr>
      <w:rFonts w:ascii="Times New Roman" w:hAnsi="Times New Roman" w:eastAsia="宋体" w:cs="Times New Roman"/>
      <w:sz w:val="28"/>
      <w:szCs w:val="24"/>
    </w:rPr>
  </w:style>
  <w:style w:type="character" w:customStyle="1" w:styleId="57">
    <w:name w:val="标题 2 Char"/>
    <w:basedOn w:val="38"/>
    <w:link w:val="3"/>
    <w:autoRedefine/>
    <w:qFormat/>
    <w:uiPriority w:val="0"/>
    <w:rPr>
      <w:rFonts w:ascii="Arial" w:hAnsi="Arial" w:eastAsia="黑体" w:cs="Times New Roman"/>
      <w:b/>
      <w:kern w:val="0"/>
      <w:sz w:val="32"/>
      <w:szCs w:val="20"/>
    </w:rPr>
  </w:style>
  <w:style w:type="character" w:customStyle="1" w:styleId="58">
    <w:name w:val="标题 3 Char"/>
    <w:basedOn w:val="38"/>
    <w:link w:val="4"/>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5"/>
    <w:autoRedefine/>
    <w:qFormat/>
    <w:uiPriority w:val="0"/>
    <w:rPr>
      <w:rFonts w:ascii="Arial" w:hAnsi="Arial" w:eastAsia="黑体" w:cs="Times New Roman"/>
      <w:b/>
      <w:kern w:val="0"/>
      <w:sz w:val="28"/>
      <w:szCs w:val="20"/>
    </w:rPr>
  </w:style>
  <w:style w:type="character" w:customStyle="1" w:styleId="60">
    <w:name w:val="日期 Char"/>
    <w:basedOn w:val="38"/>
    <w:link w:val="12"/>
    <w:autoRedefine/>
    <w:qFormat/>
    <w:uiPriority w:val="0"/>
    <w:rPr>
      <w:rFonts w:ascii="Arial" w:hAnsi="Arial" w:eastAsia="楷体_GB2312" w:cs="Times New Roman"/>
      <w:sz w:val="28"/>
      <w:szCs w:val="20"/>
    </w:rPr>
  </w:style>
  <w:style w:type="character" w:customStyle="1" w:styleId="61">
    <w:name w:val="正文文本缩进 Char"/>
    <w:basedOn w:val="38"/>
    <w:link w:val="1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8"/>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7"/>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1"/>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19"/>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9"/>
    <w:autoRedefine/>
    <w:semiHidden/>
    <w:qFormat/>
    <w:uiPriority w:val="99"/>
    <w:rPr>
      <w:rFonts w:ascii="Times New Roman" w:hAnsi="Times New Roman" w:eastAsia="宋体" w:cs="Times New Roman"/>
      <w:szCs w:val="20"/>
    </w:rPr>
  </w:style>
  <w:style w:type="character" w:customStyle="1" w:styleId="78">
    <w:name w:val="批注主题 Char"/>
    <w:basedOn w:val="77"/>
    <w:link w:val="33"/>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6"/>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8"/>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2"/>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0"/>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35"/>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6</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2023-10-10T02:26:00Z</cp:lastPrinted>
  <dcterms:modified xsi:type="dcterms:W3CDTF">2024-04-23T00:21:05Z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D1F9BCCFE5D24E29AC90CA9FFCDAB7F6_13</vt:lpwstr>
  </property>
</Properties>
</file>